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776" w:rsidRDefault="00A7644E" w:rsidP="00541776">
      <w:pPr>
        <w:rPr>
          <w:rFonts w:cs="Arial"/>
          <w:b/>
          <w:bCs/>
          <w:sz w:val="20"/>
        </w:rPr>
      </w:pPr>
      <w:r w:rsidRPr="00A7644E">
        <w:rPr>
          <w:noProof/>
          <w:sz w:val="20"/>
          <w:lang w:val="en-US"/>
        </w:rPr>
        <w:pict>
          <v:line id="_x0000_s1026" style="position:absolute;z-index:251656192" from="-21pt,7.1pt" to="507pt,7.1pt" strokeweight="2.25pt"/>
        </w:pict>
      </w:r>
      <w:r w:rsidRPr="00A7644E">
        <w:rPr>
          <w:noProof/>
          <w:sz w:val="20"/>
          <w:lang w:val="en-US"/>
        </w:rPr>
        <w:pict>
          <v:line id="_x0000_s1027" style="position:absolute;z-index:251657216" from="-21pt,10.65pt" to="507pt,10.65pt" strokeweight="2.25pt"/>
        </w:pict>
      </w:r>
    </w:p>
    <w:p w:rsidR="00541776" w:rsidRDefault="00A7644E" w:rsidP="00541776">
      <w:pPr>
        <w:rPr>
          <w:rFonts w:cs="Arial"/>
          <w:b/>
          <w:bCs/>
          <w:sz w:val="20"/>
        </w:rPr>
      </w:pPr>
      <w:r w:rsidRPr="00A7644E">
        <w:rPr>
          <w:noProof/>
          <w:sz w:val="20"/>
          <w:lang w:val="en-US"/>
        </w:rPr>
        <w:pict>
          <v:line id="_x0000_s1028" style="position:absolute;z-index:251658240" from="-12pt,626.2pt" to="516pt,626.2pt" strokeweight="2.25pt"/>
        </w:pict>
      </w:r>
    </w:p>
    <w:p w:rsidR="00541776" w:rsidRDefault="003B0386" w:rsidP="00541776">
      <w:pPr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SADRŽAJ</w:t>
      </w:r>
    </w:p>
    <w:p w:rsidR="00541776" w:rsidRDefault="00541776" w:rsidP="00541776">
      <w:pPr>
        <w:jc w:val="center"/>
        <w:rPr>
          <w:rFonts w:cs="Arial"/>
          <w:b/>
          <w:bCs/>
          <w:color w:val="000000"/>
        </w:rPr>
      </w:pPr>
    </w:p>
    <w:p w:rsidR="00541776" w:rsidRDefault="00541776" w:rsidP="00541776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20</w:t>
      </w:r>
      <w:r w:rsidR="003B0386">
        <w:rPr>
          <w:rFonts w:cs="Arial"/>
          <w:b/>
          <w:sz w:val="20"/>
          <w:szCs w:val="20"/>
        </w:rPr>
        <w:t>8</w:t>
      </w:r>
      <w:r>
        <w:rPr>
          <w:rFonts w:cs="Arial"/>
          <w:b/>
          <w:sz w:val="20"/>
          <w:szCs w:val="20"/>
        </w:rPr>
        <w:tab/>
        <w:t xml:space="preserve">ODLUKA o </w:t>
      </w:r>
      <w:r w:rsidR="003B0386">
        <w:rPr>
          <w:rFonts w:cs="Arial"/>
          <w:b/>
          <w:sz w:val="20"/>
          <w:szCs w:val="20"/>
        </w:rPr>
        <w:t>utošku sredstava Budžeta Općine Travnik za 2009. Godinu stavka: Izdaci za obnovu kuća za lica sa socijalnim statusom</w:t>
      </w:r>
    </w:p>
    <w:p w:rsidR="003B0386" w:rsidRDefault="003B0386" w:rsidP="00541776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209</w:t>
      </w:r>
      <w:r>
        <w:rPr>
          <w:rFonts w:cs="Arial"/>
          <w:b/>
          <w:sz w:val="20"/>
          <w:szCs w:val="20"/>
        </w:rPr>
        <w:tab/>
        <w:t>Odluka o usvajanju dijela Regulacionog plana „HPBŠ“ – lokalitet Konak – Luke Travnik – HPBŠ II</w:t>
      </w:r>
    </w:p>
    <w:p w:rsidR="003B0386" w:rsidRDefault="003B0386" w:rsidP="00541776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210</w:t>
      </w:r>
      <w:r>
        <w:rPr>
          <w:rFonts w:cs="Arial"/>
          <w:b/>
          <w:sz w:val="20"/>
          <w:szCs w:val="20"/>
        </w:rPr>
        <w:tab/>
        <w:t>Odluka o provođenju dijela Regulacionog plana „HPBŠ II“ lokalitet Konak – Luke</w:t>
      </w:r>
    </w:p>
    <w:p w:rsidR="003B0386" w:rsidRDefault="003B0386" w:rsidP="00541776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211</w:t>
      </w:r>
      <w:r>
        <w:rPr>
          <w:rFonts w:cs="Arial"/>
          <w:b/>
          <w:sz w:val="20"/>
          <w:szCs w:val="20"/>
        </w:rPr>
        <w:tab/>
        <w:t>Odluka o usvajanju dijela Regulacionog plana „Kalibunar – Alagića njive“ Travnik</w:t>
      </w:r>
    </w:p>
    <w:p w:rsidR="003B0386" w:rsidRDefault="003B0386" w:rsidP="00541776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212</w:t>
      </w:r>
      <w:r>
        <w:rPr>
          <w:rFonts w:cs="Arial"/>
          <w:b/>
          <w:sz w:val="20"/>
          <w:szCs w:val="20"/>
        </w:rPr>
        <w:tab/>
        <w:t>Odluka o provođenju  dijela Regulacionog plana „Kalibunar – Alagića njive“ Travnik</w:t>
      </w:r>
    </w:p>
    <w:p w:rsidR="003B0386" w:rsidRDefault="003B0386" w:rsidP="00541776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213</w:t>
      </w:r>
      <w:r>
        <w:rPr>
          <w:rFonts w:cs="Arial"/>
          <w:b/>
          <w:sz w:val="20"/>
          <w:szCs w:val="20"/>
        </w:rPr>
        <w:tab/>
        <w:t>Zaključak o utvrđivanju Nacrta Regulacionog plana „babanovac – Istok“ vlašić</w:t>
      </w:r>
    </w:p>
    <w:p w:rsidR="003B0386" w:rsidRDefault="003B0386" w:rsidP="00541776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214</w:t>
      </w:r>
      <w:r>
        <w:rPr>
          <w:rFonts w:cs="Arial"/>
          <w:b/>
          <w:sz w:val="20"/>
          <w:szCs w:val="20"/>
        </w:rPr>
        <w:tab/>
        <w:t>Odluka o pristupanju izradi izmjeni dijela Regulacionog plana „HPBŠ“ mikrolokacija Bagat – Biblioteka Travnik</w:t>
      </w:r>
    </w:p>
    <w:p w:rsidR="003B0386" w:rsidRDefault="003B0386" w:rsidP="00541776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215</w:t>
      </w:r>
      <w:r>
        <w:rPr>
          <w:rFonts w:cs="Arial"/>
          <w:b/>
          <w:sz w:val="20"/>
          <w:szCs w:val="20"/>
        </w:rPr>
        <w:tab/>
        <w:t>Konkurs za sticanje prava na nadziđavanje zgrada, izgradnju potkrovnih stanova i dogradnju stanova</w:t>
      </w:r>
    </w:p>
    <w:p w:rsidR="003B0386" w:rsidRDefault="003B0386" w:rsidP="00541776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216</w:t>
      </w:r>
      <w:r>
        <w:rPr>
          <w:rFonts w:cs="Arial"/>
          <w:b/>
          <w:sz w:val="20"/>
          <w:szCs w:val="20"/>
        </w:rPr>
        <w:tab/>
        <w:t>ISPRAVKE</w:t>
      </w:r>
    </w:p>
    <w:p w:rsidR="00541776" w:rsidRDefault="00541776" w:rsidP="00541776">
      <w:pPr>
        <w:jc w:val="both"/>
        <w:rPr>
          <w:rFonts w:cs="Arial"/>
          <w:b/>
          <w:sz w:val="20"/>
          <w:szCs w:val="20"/>
        </w:rPr>
      </w:pPr>
    </w:p>
    <w:p w:rsidR="003B0386" w:rsidRDefault="003B0386" w:rsidP="00541776">
      <w:pPr>
        <w:jc w:val="both"/>
        <w:rPr>
          <w:rFonts w:cs="Arial"/>
          <w:b/>
          <w:sz w:val="20"/>
          <w:szCs w:val="20"/>
        </w:rPr>
      </w:pPr>
    </w:p>
    <w:p w:rsidR="003B0386" w:rsidRDefault="003B0386" w:rsidP="00541776">
      <w:pPr>
        <w:jc w:val="both"/>
        <w:rPr>
          <w:rFonts w:cs="Arial"/>
          <w:b/>
          <w:sz w:val="20"/>
          <w:szCs w:val="20"/>
        </w:rPr>
      </w:pPr>
    </w:p>
    <w:p w:rsidR="003B0386" w:rsidRDefault="003B0386" w:rsidP="00541776">
      <w:pPr>
        <w:jc w:val="both"/>
        <w:rPr>
          <w:rFonts w:cs="Arial"/>
          <w:b/>
          <w:sz w:val="20"/>
          <w:szCs w:val="20"/>
        </w:rPr>
      </w:pPr>
    </w:p>
    <w:p w:rsidR="003B0386" w:rsidRDefault="003B0386" w:rsidP="00541776">
      <w:pPr>
        <w:jc w:val="both"/>
        <w:rPr>
          <w:rFonts w:cs="Arial"/>
          <w:b/>
          <w:sz w:val="20"/>
          <w:szCs w:val="20"/>
        </w:rPr>
      </w:pPr>
    </w:p>
    <w:p w:rsidR="003B0386" w:rsidRDefault="003B0386" w:rsidP="00541776">
      <w:pPr>
        <w:jc w:val="both"/>
        <w:rPr>
          <w:rFonts w:cs="Arial"/>
          <w:b/>
          <w:sz w:val="20"/>
          <w:szCs w:val="20"/>
        </w:rPr>
      </w:pPr>
    </w:p>
    <w:p w:rsidR="003B0386" w:rsidRDefault="003B0386" w:rsidP="00541776">
      <w:pPr>
        <w:jc w:val="both"/>
        <w:rPr>
          <w:rFonts w:cs="Arial"/>
          <w:b/>
          <w:sz w:val="20"/>
          <w:szCs w:val="20"/>
        </w:rPr>
      </w:pPr>
    </w:p>
    <w:p w:rsidR="003B0386" w:rsidRDefault="003B0386" w:rsidP="00541776">
      <w:pPr>
        <w:jc w:val="both"/>
        <w:rPr>
          <w:rFonts w:cs="Arial"/>
          <w:b/>
          <w:sz w:val="20"/>
          <w:szCs w:val="20"/>
        </w:rPr>
      </w:pPr>
    </w:p>
    <w:p w:rsidR="003B0386" w:rsidRDefault="003B0386" w:rsidP="00541776">
      <w:pPr>
        <w:jc w:val="both"/>
        <w:rPr>
          <w:rFonts w:cs="Arial"/>
          <w:b/>
          <w:sz w:val="20"/>
          <w:szCs w:val="20"/>
        </w:rPr>
      </w:pPr>
    </w:p>
    <w:p w:rsidR="003B0386" w:rsidRDefault="003B0386" w:rsidP="00541776">
      <w:pPr>
        <w:jc w:val="both"/>
        <w:rPr>
          <w:rFonts w:cs="Arial"/>
          <w:b/>
          <w:sz w:val="20"/>
          <w:szCs w:val="20"/>
        </w:rPr>
      </w:pPr>
    </w:p>
    <w:p w:rsidR="003B0386" w:rsidRDefault="003B0386" w:rsidP="00541776">
      <w:pPr>
        <w:jc w:val="both"/>
        <w:rPr>
          <w:rFonts w:cs="Arial"/>
          <w:b/>
          <w:sz w:val="20"/>
          <w:szCs w:val="20"/>
        </w:rPr>
      </w:pPr>
    </w:p>
    <w:p w:rsidR="003B0386" w:rsidRDefault="003B0386" w:rsidP="00541776">
      <w:pPr>
        <w:jc w:val="both"/>
        <w:rPr>
          <w:rFonts w:cs="Arial"/>
          <w:b/>
          <w:sz w:val="20"/>
          <w:szCs w:val="20"/>
        </w:rPr>
      </w:pPr>
    </w:p>
    <w:p w:rsidR="003B0386" w:rsidRDefault="003B0386" w:rsidP="00541776">
      <w:pPr>
        <w:jc w:val="both"/>
        <w:rPr>
          <w:rFonts w:cs="Arial"/>
          <w:b/>
          <w:sz w:val="20"/>
          <w:szCs w:val="20"/>
        </w:rPr>
      </w:pPr>
    </w:p>
    <w:p w:rsidR="003B0386" w:rsidRDefault="003B0386" w:rsidP="00541776">
      <w:pPr>
        <w:jc w:val="both"/>
        <w:rPr>
          <w:rFonts w:cs="Arial"/>
          <w:b/>
          <w:sz w:val="20"/>
          <w:szCs w:val="20"/>
        </w:rPr>
      </w:pPr>
    </w:p>
    <w:p w:rsidR="003B0386" w:rsidRDefault="003B0386" w:rsidP="00541776">
      <w:pPr>
        <w:jc w:val="both"/>
        <w:rPr>
          <w:rFonts w:cs="Arial"/>
          <w:b/>
          <w:sz w:val="20"/>
          <w:szCs w:val="20"/>
        </w:rPr>
      </w:pPr>
    </w:p>
    <w:p w:rsidR="003B0386" w:rsidRDefault="003B0386" w:rsidP="00541776">
      <w:pPr>
        <w:jc w:val="both"/>
        <w:rPr>
          <w:rFonts w:cs="Arial"/>
          <w:b/>
          <w:sz w:val="20"/>
          <w:szCs w:val="20"/>
        </w:rPr>
      </w:pPr>
    </w:p>
    <w:p w:rsidR="003B0386" w:rsidRDefault="003B0386" w:rsidP="00541776">
      <w:pPr>
        <w:jc w:val="both"/>
        <w:rPr>
          <w:rFonts w:cs="Arial"/>
          <w:b/>
          <w:sz w:val="20"/>
          <w:szCs w:val="20"/>
        </w:rPr>
      </w:pPr>
    </w:p>
    <w:p w:rsidR="003B0386" w:rsidRDefault="003B0386" w:rsidP="00541776">
      <w:pPr>
        <w:jc w:val="both"/>
        <w:rPr>
          <w:rFonts w:cs="Arial"/>
          <w:b/>
          <w:sz w:val="20"/>
          <w:szCs w:val="20"/>
        </w:rPr>
      </w:pPr>
    </w:p>
    <w:p w:rsidR="003B0386" w:rsidRDefault="003B0386" w:rsidP="00541776">
      <w:pPr>
        <w:jc w:val="both"/>
        <w:rPr>
          <w:rFonts w:cs="Arial"/>
          <w:b/>
          <w:sz w:val="20"/>
          <w:szCs w:val="20"/>
        </w:rPr>
      </w:pPr>
    </w:p>
    <w:p w:rsidR="003B0386" w:rsidRDefault="003B0386" w:rsidP="00541776">
      <w:pPr>
        <w:jc w:val="both"/>
        <w:rPr>
          <w:rFonts w:cs="Arial"/>
          <w:b/>
          <w:sz w:val="20"/>
          <w:szCs w:val="20"/>
        </w:rPr>
      </w:pPr>
    </w:p>
    <w:p w:rsidR="003B0386" w:rsidRDefault="003B0386" w:rsidP="00541776">
      <w:pPr>
        <w:jc w:val="both"/>
        <w:rPr>
          <w:rFonts w:cs="Arial"/>
          <w:b/>
          <w:sz w:val="20"/>
          <w:szCs w:val="20"/>
        </w:rPr>
      </w:pPr>
    </w:p>
    <w:p w:rsidR="003B0386" w:rsidRDefault="003B0386" w:rsidP="00541776">
      <w:pPr>
        <w:jc w:val="both"/>
        <w:rPr>
          <w:rFonts w:cs="Arial"/>
          <w:b/>
          <w:sz w:val="20"/>
          <w:szCs w:val="20"/>
        </w:rPr>
      </w:pPr>
    </w:p>
    <w:p w:rsidR="003B0386" w:rsidRDefault="003B0386" w:rsidP="00541776">
      <w:pPr>
        <w:jc w:val="both"/>
        <w:rPr>
          <w:rFonts w:cs="Arial"/>
          <w:b/>
          <w:sz w:val="20"/>
          <w:szCs w:val="20"/>
        </w:rPr>
      </w:pPr>
    </w:p>
    <w:p w:rsidR="00541776" w:rsidRDefault="00541776" w:rsidP="00541776">
      <w:pPr>
        <w:spacing w:before="100" w:beforeAutospacing="1" w:after="100" w:afterAutospacing="1" w:line="312" w:lineRule="auto"/>
        <w:ind w:left="705" w:hanging="705"/>
        <w:jc w:val="both"/>
        <w:rPr>
          <w:rFonts w:cs="Arial"/>
          <w:b/>
          <w:sz w:val="20"/>
          <w:szCs w:val="20"/>
          <w:lang w:val="hr-BA"/>
        </w:rPr>
      </w:pPr>
    </w:p>
    <w:p w:rsidR="00541776" w:rsidRDefault="00541776" w:rsidP="00541776">
      <w:pPr>
        <w:spacing w:before="100" w:beforeAutospacing="1" w:after="100" w:afterAutospacing="1" w:line="312" w:lineRule="auto"/>
        <w:ind w:left="705" w:hanging="705"/>
        <w:jc w:val="both"/>
        <w:rPr>
          <w:rFonts w:cs="Arial"/>
          <w:b/>
          <w:sz w:val="20"/>
          <w:szCs w:val="20"/>
          <w:lang w:val="hr-BA"/>
        </w:rPr>
      </w:pPr>
    </w:p>
    <w:p w:rsidR="00541776" w:rsidRDefault="00A7644E" w:rsidP="00541776">
      <w:pPr>
        <w:jc w:val="center"/>
        <w:rPr>
          <w:rFonts w:cs="Arial"/>
          <w:b/>
          <w:bCs/>
          <w:color w:val="000000"/>
        </w:rPr>
      </w:pPr>
      <w:r w:rsidRPr="00A7644E">
        <w:rPr>
          <w:b/>
          <w:noProof/>
          <w:sz w:val="20"/>
          <w:lang w:val="en-US"/>
        </w:rPr>
        <w:pict>
          <v:line id="_x0000_s1029" style="position:absolute;left:0;text-align:left;z-index:251659264" from="-10.4pt,10.65pt" to="-10.4pt,640.65pt" strokeweight="2.25pt"/>
        </w:pict>
      </w:r>
      <w:r w:rsidR="003B0386">
        <w:rPr>
          <w:rFonts w:cs="Arial"/>
          <w:b/>
          <w:bCs/>
          <w:color w:val="000000"/>
        </w:rPr>
        <w:t>KAZALO</w:t>
      </w:r>
    </w:p>
    <w:p w:rsidR="003B0386" w:rsidRDefault="003B0386" w:rsidP="00541776">
      <w:pPr>
        <w:jc w:val="center"/>
        <w:rPr>
          <w:rFonts w:cs="Arial"/>
          <w:b/>
          <w:bCs/>
          <w:color w:val="000000"/>
        </w:rPr>
      </w:pPr>
    </w:p>
    <w:p w:rsidR="003B0386" w:rsidRDefault="003B0386" w:rsidP="003B0386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208</w:t>
      </w:r>
      <w:r>
        <w:rPr>
          <w:rFonts w:cs="Arial"/>
          <w:b/>
          <w:sz w:val="20"/>
          <w:szCs w:val="20"/>
        </w:rPr>
        <w:tab/>
        <w:t>ODLUKA o utošku sredstava Proračuna Općine Travnik za 2009. Godinu stavka: Izdaci za obnovu kuća za osobe sa socijalnim statusom</w:t>
      </w:r>
    </w:p>
    <w:p w:rsidR="003B0386" w:rsidRDefault="003B0386" w:rsidP="003B0386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209</w:t>
      </w:r>
      <w:r>
        <w:rPr>
          <w:rFonts w:cs="Arial"/>
          <w:b/>
          <w:sz w:val="20"/>
          <w:szCs w:val="20"/>
        </w:rPr>
        <w:tab/>
        <w:t>Odluka o usvajanju dijela Regulacionog plana „HPBŠ“ – lokalitet Konak – Luke Travnik – HPBŠ II</w:t>
      </w:r>
    </w:p>
    <w:p w:rsidR="003B0386" w:rsidRDefault="003B0386" w:rsidP="003B0386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210</w:t>
      </w:r>
      <w:r>
        <w:rPr>
          <w:rFonts w:cs="Arial"/>
          <w:b/>
          <w:sz w:val="20"/>
          <w:szCs w:val="20"/>
        </w:rPr>
        <w:tab/>
        <w:t>Odluka o provođenju dijela Regulacionog plana „HPBŠ II“ lokalitet Konak – Luke</w:t>
      </w:r>
    </w:p>
    <w:p w:rsidR="003B0386" w:rsidRDefault="003B0386" w:rsidP="003B0386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211</w:t>
      </w:r>
      <w:r>
        <w:rPr>
          <w:rFonts w:cs="Arial"/>
          <w:b/>
          <w:sz w:val="20"/>
          <w:szCs w:val="20"/>
        </w:rPr>
        <w:tab/>
        <w:t>Odluka o usvajanju dijela Regulacionog plana „Kalibunar – Alagića njive“ Travnik</w:t>
      </w:r>
    </w:p>
    <w:p w:rsidR="003B0386" w:rsidRDefault="003B0386" w:rsidP="003B0386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212</w:t>
      </w:r>
      <w:r>
        <w:rPr>
          <w:rFonts w:cs="Arial"/>
          <w:b/>
          <w:sz w:val="20"/>
          <w:szCs w:val="20"/>
        </w:rPr>
        <w:tab/>
        <w:t>Odluka o provođenju  dijela Regulacionog plana „Kalibunar – Alagića njive“ Travnik</w:t>
      </w:r>
    </w:p>
    <w:p w:rsidR="003B0386" w:rsidRDefault="003B0386" w:rsidP="003B0386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213</w:t>
      </w:r>
      <w:r>
        <w:rPr>
          <w:rFonts w:cs="Arial"/>
          <w:b/>
          <w:sz w:val="20"/>
          <w:szCs w:val="20"/>
        </w:rPr>
        <w:tab/>
        <w:t>Zaključak o utvrđivanju Nacrta Regulacionog plana „babanovac – Istok“ vlašić</w:t>
      </w:r>
    </w:p>
    <w:p w:rsidR="003B0386" w:rsidRDefault="003B0386" w:rsidP="003B0386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214</w:t>
      </w:r>
      <w:r>
        <w:rPr>
          <w:rFonts w:cs="Arial"/>
          <w:b/>
          <w:sz w:val="20"/>
          <w:szCs w:val="20"/>
        </w:rPr>
        <w:tab/>
        <w:t>Odluka o pristupanju izradi izmjeni dijela Regulacionog plana „HPBŠ“ mikrolokacija Bagat – Biblioteka Travnik</w:t>
      </w:r>
    </w:p>
    <w:p w:rsidR="003B0386" w:rsidRDefault="003B0386" w:rsidP="003B0386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215</w:t>
      </w:r>
      <w:r>
        <w:rPr>
          <w:rFonts w:cs="Arial"/>
          <w:b/>
          <w:sz w:val="20"/>
          <w:szCs w:val="20"/>
        </w:rPr>
        <w:tab/>
        <w:t>Konkurs za sticanje prava na nadziđavanje zgrada, izgradnju potkrovnih stanova i dogradnju stanova</w:t>
      </w:r>
    </w:p>
    <w:p w:rsidR="003B0386" w:rsidRDefault="003B0386" w:rsidP="003B0386">
      <w:pPr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216</w:t>
      </w:r>
      <w:r>
        <w:rPr>
          <w:rFonts w:cs="Arial"/>
          <w:b/>
          <w:sz w:val="20"/>
          <w:szCs w:val="20"/>
        </w:rPr>
        <w:tab/>
        <w:t>ISPRAVKE</w:t>
      </w:r>
    </w:p>
    <w:p w:rsidR="003B0386" w:rsidRDefault="003B0386" w:rsidP="003B0386">
      <w:pPr>
        <w:jc w:val="both"/>
        <w:rPr>
          <w:rFonts w:cs="Arial"/>
          <w:b/>
          <w:sz w:val="20"/>
          <w:szCs w:val="20"/>
        </w:rPr>
      </w:pPr>
    </w:p>
    <w:p w:rsidR="003B0386" w:rsidRDefault="003B0386" w:rsidP="003B0386">
      <w:pPr>
        <w:jc w:val="both"/>
        <w:rPr>
          <w:rFonts w:cs="Arial"/>
          <w:b/>
          <w:sz w:val="20"/>
          <w:szCs w:val="20"/>
        </w:rPr>
      </w:pPr>
    </w:p>
    <w:p w:rsidR="003B0386" w:rsidRDefault="003B0386" w:rsidP="003B0386">
      <w:pPr>
        <w:jc w:val="both"/>
        <w:rPr>
          <w:rFonts w:cs="Arial"/>
          <w:b/>
          <w:sz w:val="20"/>
          <w:szCs w:val="20"/>
        </w:rPr>
      </w:pPr>
    </w:p>
    <w:p w:rsidR="006E5119" w:rsidRDefault="006E5119"/>
    <w:sectPr w:rsidR="006E5119" w:rsidSect="00D500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701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C0A" w:rsidRDefault="00A55C0A" w:rsidP="00541776">
      <w:r>
        <w:separator/>
      </w:r>
    </w:p>
  </w:endnote>
  <w:endnote w:type="continuationSeparator" w:id="1">
    <w:p w:rsidR="00A55C0A" w:rsidRDefault="00A55C0A" w:rsidP="005417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776" w:rsidRDefault="0054177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776" w:rsidRDefault="0054177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776" w:rsidRDefault="0054177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C0A" w:rsidRDefault="00A55C0A" w:rsidP="00541776">
      <w:r>
        <w:separator/>
      </w:r>
    </w:p>
  </w:footnote>
  <w:footnote w:type="continuationSeparator" w:id="1">
    <w:p w:rsidR="00A55C0A" w:rsidRDefault="00A55C0A" w:rsidP="005417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776" w:rsidRDefault="0054177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03C" w:rsidRPr="00D5003C" w:rsidRDefault="00B96B2B">
    <w:pPr>
      <w:pStyle w:val="Header"/>
      <w:rPr>
        <w:color w:val="808080" w:themeColor="background1" w:themeShade="80"/>
      </w:rPr>
    </w:pPr>
    <w:r>
      <w:rPr>
        <w:color w:val="808080" w:themeColor="background1" w:themeShade="80"/>
      </w:rPr>
      <w:t>Službene novine Općine Travnik 1</w:t>
    </w:r>
    <w:r w:rsidR="00541776">
      <w:rPr>
        <w:color w:val="808080" w:themeColor="background1" w:themeShade="80"/>
      </w:rPr>
      <w:t>3</w:t>
    </w:r>
    <w:r w:rsidRPr="00D5003C">
      <w:rPr>
        <w:color w:val="808080" w:themeColor="background1" w:themeShade="80"/>
      </w:rPr>
      <w:t>/09</w:t>
    </w:r>
  </w:p>
  <w:p w:rsidR="00D5003C" w:rsidRDefault="00A55C0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776" w:rsidRDefault="0054177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1776"/>
    <w:rsid w:val="00056898"/>
    <w:rsid w:val="000D3430"/>
    <w:rsid w:val="00141D01"/>
    <w:rsid w:val="001730D8"/>
    <w:rsid w:val="0019340C"/>
    <w:rsid w:val="00200131"/>
    <w:rsid w:val="00235AFE"/>
    <w:rsid w:val="00342374"/>
    <w:rsid w:val="003B0386"/>
    <w:rsid w:val="00431B05"/>
    <w:rsid w:val="00472065"/>
    <w:rsid w:val="004D0260"/>
    <w:rsid w:val="00541776"/>
    <w:rsid w:val="00595912"/>
    <w:rsid w:val="005C5D54"/>
    <w:rsid w:val="00627D67"/>
    <w:rsid w:val="00633D69"/>
    <w:rsid w:val="00651855"/>
    <w:rsid w:val="006E0677"/>
    <w:rsid w:val="006E5119"/>
    <w:rsid w:val="008A552F"/>
    <w:rsid w:val="009B0840"/>
    <w:rsid w:val="009C3530"/>
    <w:rsid w:val="00A55C0A"/>
    <w:rsid w:val="00A7644E"/>
    <w:rsid w:val="00AB5105"/>
    <w:rsid w:val="00B05243"/>
    <w:rsid w:val="00B96B2B"/>
    <w:rsid w:val="00C1322F"/>
    <w:rsid w:val="00CE2B31"/>
    <w:rsid w:val="00D45D18"/>
    <w:rsid w:val="00E54E18"/>
    <w:rsid w:val="00EA1E5B"/>
    <w:rsid w:val="00EB338A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after="200"/>
        <w:ind w:left="646" w:hanging="64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776"/>
    <w:pPr>
      <w:spacing w:after="0"/>
      <w:ind w:left="0" w:firstLine="0"/>
      <w:jc w:val="left"/>
    </w:pPr>
    <w:rPr>
      <w:rFonts w:ascii="Arial" w:eastAsia="Times New Roman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177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1776"/>
    <w:rPr>
      <w:rFonts w:ascii="Arial" w:eastAsia="Times New Roman" w:hAnsi="Arial"/>
      <w:sz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54177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41776"/>
    <w:rPr>
      <w:rFonts w:ascii="Arial" w:eastAsia="Times New Roman" w:hAnsi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OPCINA TRAVNIK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2</cp:revision>
  <cp:lastPrinted>2009-08-05T06:32:00Z</cp:lastPrinted>
  <dcterms:created xsi:type="dcterms:W3CDTF">2009-07-31T10:12:00Z</dcterms:created>
  <dcterms:modified xsi:type="dcterms:W3CDTF">2009-08-05T06:35:00Z</dcterms:modified>
</cp:coreProperties>
</file>